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86" w:rsidRDefault="00CB5D4A">
      <w:pPr>
        <w:spacing w:line="200" w:lineRule="atLeast"/>
        <w:rPr>
          <w:rFonts w:ascii="Liberation Sans" w:hAnsi="Liberation Sans" w:cs="Arial"/>
          <w:color w:val="000000"/>
        </w:rPr>
      </w:pPr>
      <w:r>
        <w:rPr>
          <w:rFonts w:ascii="Liberation Sans" w:hAnsi="Liberation Sans" w:cs="Arial"/>
          <w:noProof/>
          <w:color w:val="000000"/>
          <w:lang w:val="en-US" w:eastAsia="en-US" w:bidi="ar-SA"/>
        </w:rPr>
        <w:drawing>
          <wp:anchor distT="0" distB="0" distL="0" distR="0" simplePos="0" relativeHeight="2" behindDoc="0" locked="0" layoutInCell="1" allowOverlap="1">
            <wp:simplePos x="0" y="0"/>
            <wp:positionH relativeFrom="column">
              <wp:posOffset>-48895</wp:posOffset>
            </wp:positionH>
            <wp:positionV relativeFrom="paragraph">
              <wp:posOffset>40005</wp:posOffset>
            </wp:positionV>
            <wp:extent cx="1974215" cy="8496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974215" cy="849630"/>
                    </a:xfrm>
                    <a:prstGeom prst="rect">
                      <a:avLst/>
                    </a:prstGeom>
                  </pic:spPr>
                </pic:pic>
              </a:graphicData>
            </a:graphic>
          </wp:anchor>
        </w:drawing>
      </w:r>
    </w:p>
    <w:p w:rsidR="008F1C86" w:rsidRDefault="008F1C86">
      <w:pPr>
        <w:spacing w:line="200" w:lineRule="atLeast"/>
        <w:rPr>
          <w:rFonts w:ascii="Liberation Sans" w:hAnsi="Liberation Sans" w:cs="Arial"/>
          <w:color w:val="000000"/>
        </w:rPr>
      </w:pPr>
    </w:p>
    <w:p w:rsidR="008F1C86" w:rsidRDefault="008F1C86">
      <w:pPr>
        <w:spacing w:line="200" w:lineRule="atLeast"/>
        <w:rPr>
          <w:rFonts w:ascii="Liberation Sans" w:hAnsi="Liberation Sans" w:cs="Arial"/>
          <w:color w:val="000000"/>
        </w:rPr>
      </w:pPr>
    </w:p>
    <w:p w:rsidR="008F1C86" w:rsidRDefault="008F1C86">
      <w:pPr>
        <w:spacing w:line="200" w:lineRule="atLeast"/>
        <w:rPr>
          <w:rFonts w:ascii="Liberation Sans" w:hAnsi="Liberation Sans" w:cs="Arial"/>
          <w:color w:val="000000"/>
        </w:rPr>
      </w:pPr>
    </w:p>
    <w:p w:rsidR="008F1C86" w:rsidRDefault="008F1C86">
      <w:pPr>
        <w:spacing w:line="200" w:lineRule="atLeast"/>
        <w:rPr>
          <w:rFonts w:ascii="Liberation Sans" w:hAnsi="Liberation Sans" w:cs="Arial"/>
          <w:color w:val="000000"/>
        </w:rPr>
      </w:pPr>
    </w:p>
    <w:p w:rsidR="008F1C86" w:rsidRDefault="008F1C86">
      <w:pPr>
        <w:spacing w:line="200" w:lineRule="atLeast"/>
        <w:rPr>
          <w:rFonts w:ascii="Liberation Sans" w:hAnsi="Liberation Sans" w:cs="Arial"/>
          <w:color w:val="000000"/>
        </w:rPr>
      </w:pPr>
    </w:p>
    <w:p w:rsidR="008F1C86" w:rsidRDefault="008F1C86">
      <w:pPr>
        <w:spacing w:line="200" w:lineRule="atLeast"/>
        <w:rPr>
          <w:rFonts w:ascii="Liberation Sans" w:hAnsi="Liberation Sans" w:cs="Arial"/>
          <w:color w:val="000000"/>
        </w:rPr>
      </w:pPr>
    </w:p>
    <w:p w:rsidR="008F1C86" w:rsidRDefault="008F1C86">
      <w:pPr>
        <w:spacing w:line="200" w:lineRule="atLeast"/>
        <w:rPr>
          <w:rFonts w:ascii="Liberation Sans" w:hAnsi="Liberation Sans" w:cs="Arial"/>
          <w:color w:val="000000"/>
        </w:rPr>
      </w:pPr>
    </w:p>
    <w:p w:rsidR="008F1C86" w:rsidRDefault="00CB5D4A">
      <w:pPr>
        <w:spacing w:line="200" w:lineRule="atLeast"/>
        <w:jc w:val="center"/>
        <w:rPr>
          <w:b/>
          <w:bCs/>
        </w:rPr>
      </w:pPr>
      <w:r>
        <w:rPr>
          <w:rFonts w:ascii="Liberation Sans" w:hAnsi="Liberation Sans" w:cs="Arial"/>
          <w:b/>
          <w:bCs/>
          <w:color w:val="000000"/>
        </w:rPr>
        <w:t>Comments on AWE’s application to increase its gaseous volatile beta discharge limit to 100 MBq</w:t>
      </w:r>
    </w:p>
    <w:p w:rsidR="008F1C86" w:rsidRDefault="008F1C86">
      <w:pPr>
        <w:rPr>
          <w:rFonts w:ascii="Liberation Sans" w:hAnsi="Liberation Sans"/>
          <w:b/>
          <w:bCs/>
        </w:rPr>
      </w:pPr>
    </w:p>
    <w:p w:rsidR="008F1C86" w:rsidRDefault="008F1C86">
      <w:pPr>
        <w:rPr>
          <w:rFonts w:ascii="Liberation Sans" w:hAnsi="Liberation Sans"/>
          <w:b/>
          <w:bCs/>
        </w:rPr>
      </w:pPr>
    </w:p>
    <w:p w:rsidR="008F1C86" w:rsidRDefault="00CB5D4A">
      <w:r>
        <w:rPr>
          <w:rFonts w:ascii="Liberation Sans" w:hAnsi="Liberation Sans"/>
        </w:rPr>
        <w:t xml:space="preserve">The environment agency consultation on AWE’s application to raise its volatile beta limit can be found </w:t>
      </w:r>
      <w:hyperlink r:id="rId8">
        <w:r>
          <w:rPr>
            <w:rStyle w:val="InternetLink"/>
            <w:rFonts w:ascii="Liberation Sans" w:hAnsi="Liberation Sans"/>
          </w:rPr>
          <w:t>here</w:t>
        </w:r>
      </w:hyperlink>
      <w:r>
        <w:rPr>
          <w:rFonts w:ascii="Liberation Sans" w:hAnsi="Liberation Sans" w:cs="Liberation Sans"/>
        </w:rPr>
        <w:t>. The application documents can be downloaded at the bottom of the page. The</w:t>
      </w:r>
      <w:r>
        <w:rPr>
          <w:rFonts w:ascii="Liberation Sans" w:hAnsi="Liberation Sans"/>
        </w:rPr>
        <w:t xml:space="preserve"> following points will be made in the response that NIS makes to the consultation. You are welcome</w:t>
      </w:r>
      <w:r>
        <w:rPr>
          <w:rFonts w:ascii="Liberation Sans" w:hAnsi="Liberation Sans"/>
        </w:rPr>
        <w:t xml:space="preserve"> to also use them in your consultation response.</w:t>
      </w:r>
    </w:p>
    <w:p w:rsidR="008F1C86" w:rsidRDefault="008F1C86">
      <w:pPr>
        <w:rPr>
          <w:rFonts w:ascii="Liberation Sans" w:hAnsi="Liberation Sans"/>
        </w:rPr>
      </w:pPr>
    </w:p>
    <w:p w:rsidR="008F1C86" w:rsidRDefault="008F1C86">
      <w:pPr>
        <w:rPr>
          <w:rFonts w:ascii="Liberation Sans" w:hAnsi="Liberation Sans"/>
        </w:rPr>
      </w:pPr>
    </w:p>
    <w:p w:rsidR="008F1C86" w:rsidRDefault="00CB5D4A">
      <w:pPr>
        <w:numPr>
          <w:ilvl w:val="0"/>
          <w:numId w:val="1"/>
        </w:numPr>
        <w:spacing w:line="200" w:lineRule="atLeast"/>
      </w:pPr>
      <w:r>
        <w:rPr>
          <w:rFonts w:ascii="Liberation Sans" w:hAnsi="Liberation Sans" w:cs="Arial"/>
        </w:rPr>
        <w:t>Government policy on radioactive releases to the environment, outlined in the document 'UK Strategy for Radioactive Discharges' is to achieve “progressive and substantial reductions on radioactive discharg</w:t>
      </w:r>
      <w:r>
        <w:rPr>
          <w:rFonts w:ascii="Liberation Sans" w:hAnsi="Liberation Sans" w:cs="Arial"/>
        </w:rPr>
        <w:t>es” and “</w:t>
      </w:r>
      <w:r>
        <w:rPr>
          <w:rFonts w:ascii="Liberation Sans" w:eastAsia="Arial" w:hAnsi="Liberation Sans" w:cs="Arial"/>
          <w:color w:val="000000"/>
        </w:rPr>
        <w:t>progressive reductions in human exposures to ionising radiation...as a result of planned reductions in discharges”. The unnecessary introduction of radioactivity into the environment is considered “undesirable” by government, “even at levels where</w:t>
      </w:r>
      <w:r>
        <w:rPr>
          <w:rFonts w:ascii="Liberation Sans" w:eastAsia="Arial" w:hAnsi="Liberation Sans" w:cs="Arial"/>
          <w:color w:val="000000"/>
        </w:rPr>
        <w:t xml:space="preserve"> the doses to both human and non-human species are low and, on the basis of current knowledge, are unlikely to cause harm.”</w:t>
      </w:r>
      <w:r>
        <w:rPr>
          <w:rStyle w:val="FootnoteAnchor0"/>
          <w:rFonts w:ascii="Liberation Sans" w:eastAsia="Arial" w:hAnsi="Liberation Sans" w:cs="Arial"/>
          <w:color w:val="000000"/>
        </w:rPr>
        <w:footnoteReference w:id="2"/>
      </w:r>
      <w:r>
        <w:rPr>
          <w:rFonts w:ascii="Liberation Sans" w:eastAsia="Arial" w:hAnsi="Liberation Sans" w:cs="Arial"/>
          <w:color w:val="000000"/>
        </w:rPr>
        <w:t xml:space="preserve"> Although written principally to establish policy on radioactive discharges to the marine environment, this strategy document also r</w:t>
      </w:r>
      <w:r>
        <w:rPr>
          <w:rFonts w:ascii="Liberation Sans" w:eastAsia="Arial" w:hAnsi="Liberation Sans" w:cs="Arial"/>
          <w:color w:val="000000"/>
        </w:rPr>
        <w:t>elates to</w:t>
      </w:r>
      <w:r>
        <w:rPr>
          <w:rStyle w:val="FootnoteAnchor0"/>
          <w:rFonts w:ascii="Liberation Sans" w:eastAsia="Arial" w:hAnsi="Liberation Sans" w:cs="Arial"/>
          <w:color w:val="000000"/>
        </w:rPr>
        <w:footnoteReference w:id="3"/>
      </w:r>
      <w:r>
        <w:rPr>
          <w:rFonts w:ascii="Liberation Sans" w:eastAsia="Arial" w:hAnsi="Liberation Sans" w:cs="Arial"/>
          <w:color w:val="000000"/>
        </w:rPr>
        <w:t xml:space="preserve"> and refers to radioactive emissions to the atmosphere as well as discharges to the aqueous environment. The proposal to increase volatile beta discharges from AWE is contrary to national policy to reduce radioactive discharges as outlined in the</w:t>
      </w:r>
      <w:r>
        <w:rPr>
          <w:rFonts w:ascii="Liberation Sans" w:eastAsia="Arial" w:hAnsi="Liberation Sans" w:cs="Arial"/>
          <w:color w:val="000000"/>
        </w:rPr>
        <w:t xml:space="preserve"> strategy.</w:t>
      </w:r>
      <w:r>
        <w:rPr>
          <w:rFonts w:ascii="Liberation Sans" w:eastAsia="Arial" w:hAnsi="Liberation Sans" w:cs="Arial"/>
          <w:color w:val="000000"/>
        </w:rPr>
        <w:br/>
      </w:r>
    </w:p>
    <w:p w:rsidR="008F1C86" w:rsidRDefault="00CB5D4A">
      <w:pPr>
        <w:numPr>
          <w:ilvl w:val="0"/>
          <w:numId w:val="1"/>
        </w:numPr>
        <w:spacing w:line="200" w:lineRule="atLeast"/>
      </w:pPr>
      <w:r>
        <w:rPr>
          <w:rFonts w:ascii="Liberation Sans" w:hAnsi="Liberation Sans" w:cs="Arial"/>
        </w:rPr>
        <w:t>Statutory guidance to the Environment Agency on the implementation of the Strategy specifically states that, “</w:t>
      </w:r>
      <w:r>
        <w:rPr>
          <w:rFonts w:ascii="Liberation Sans" w:eastAsia="Arial" w:hAnsi="Liberation Sans" w:cs="Arial"/>
          <w:color w:val="000000"/>
        </w:rPr>
        <w:t>[i]n relation to its radioactive discharge functions, the Environment Agency should base its regulatory decisions on applying the envi</w:t>
      </w:r>
      <w:r>
        <w:rPr>
          <w:rFonts w:ascii="Liberation Sans" w:eastAsia="Arial" w:hAnsi="Liberation Sans" w:cs="Arial"/>
          <w:color w:val="000000"/>
        </w:rPr>
        <w:t>ronmental principles set out in the 2009 UK Strategy”.  One of the principles specifically cited is “the preferred use of ‘concentrate and contain’ in the management of radioactive waste over ‘dilute and disperse’”.</w:t>
      </w:r>
      <w:r>
        <w:rPr>
          <w:rStyle w:val="FootnoteAnchor0"/>
          <w:rFonts w:ascii="Liberation Sans" w:eastAsia="Arial" w:hAnsi="Liberation Sans" w:cs="Arial"/>
          <w:color w:val="000000"/>
        </w:rPr>
        <w:footnoteReference w:id="4"/>
      </w:r>
      <w:r>
        <w:rPr>
          <w:rFonts w:ascii="Liberation Sans" w:eastAsia="Arial" w:hAnsi="Liberation Sans" w:cs="Arial"/>
          <w:color w:val="000000"/>
        </w:rPr>
        <w:br/>
      </w:r>
    </w:p>
    <w:p w:rsidR="008F1C86" w:rsidRDefault="00CB5D4A">
      <w:pPr>
        <w:numPr>
          <w:ilvl w:val="0"/>
          <w:numId w:val="1"/>
        </w:numPr>
        <w:rPr>
          <w:rFonts w:ascii="Liberation Sans" w:hAnsi="Liberation Sans"/>
        </w:rPr>
      </w:pPr>
      <w:r>
        <w:rPr>
          <w:rFonts w:ascii="Liberation Sans" w:hAnsi="Liberation Sans" w:cs="Arial"/>
        </w:rPr>
        <w:t>Given that the proposed application fr</w:t>
      </w:r>
      <w:r>
        <w:rPr>
          <w:rFonts w:ascii="Liberation Sans" w:hAnsi="Liberation Sans" w:cs="Arial"/>
        </w:rPr>
        <w:t xml:space="preserve">om AWE seeks to increase volatile beta emissions for the purposes of </w:t>
      </w:r>
      <w:r>
        <w:rPr>
          <w:rFonts w:ascii="Liberation Sans" w:hAnsi="Liberation Sans" w:cs="Arial"/>
          <w:color w:val="000000"/>
        </w:rPr>
        <w:t>dilution and dispersion, Nuclear Information Service (NIS) concludes that the Environment Agency would not be able to consent to this application without breaching government policy and s</w:t>
      </w:r>
      <w:r>
        <w:rPr>
          <w:rFonts w:ascii="Liberation Sans" w:hAnsi="Liberation Sans" w:cs="Arial"/>
          <w:color w:val="000000"/>
        </w:rPr>
        <w:t>tatutory guidance.</w:t>
      </w:r>
      <w:r>
        <w:rPr>
          <w:rFonts w:ascii="Liberation Sans" w:hAnsi="Liberation Sans" w:cs="Arial"/>
          <w:color w:val="000000"/>
        </w:rPr>
        <w:br/>
      </w:r>
    </w:p>
    <w:p w:rsidR="008F1C86" w:rsidRDefault="00CB5D4A">
      <w:pPr>
        <w:numPr>
          <w:ilvl w:val="0"/>
          <w:numId w:val="1"/>
        </w:numPr>
        <w:rPr>
          <w:rFonts w:ascii="Liberation Sans" w:hAnsi="Liberation Sans"/>
        </w:rPr>
      </w:pPr>
      <w:r>
        <w:rPr>
          <w:rFonts w:ascii="Liberation Sans" w:hAnsi="Liberation Sans"/>
        </w:rPr>
        <w:lastRenderedPageBreak/>
        <w:t>NIS supports the UK having a nuclear forensics capacity for use in counter-proliferation. However, AWE’s application has not at all made the case that the increased discharge limit is necessary for that capacity to be maintained:</w:t>
      </w:r>
      <w:r>
        <w:rPr>
          <w:rFonts w:ascii="Liberation Sans" w:hAnsi="Liberation Sans"/>
        </w:rPr>
        <w:br/>
      </w:r>
    </w:p>
    <w:p w:rsidR="008F1C86" w:rsidRDefault="00CB5D4A">
      <w:pPr>
        <w:numPr>
          <w:ilvl w:val="1"/>
          <w:numId w:val="2"/>
        </w:numPr>
      </w:pPr>
      <w:r>
        <w:rPr>
          <w:rFonts w:ascii="Liberation Sans" w:hAnsi="Liberation Sans"/>
        </w:rPr>
        <w:t>The p</w:t>
      </w:r>
      <w:r>
        <w:rPr>
          <w:rFonts w:ascii="Liberation Sans" w:hAnsi="Liberation Sans"/>
        </w:rPr>
        <w:t xml:space="preserve">rogramme of work that results in the discharges are exercises where the UK and states test the same samples in order to compare the results and calibrate their testing processes. AWE wishes to increase their gaseous discharges of volatile beta emitters in </w:t>
      </w:r>
      <w:r>
        <w:rPr>
          <w:rFonts w:ascii="Liberation Sans" w:hAnsi="Liberation Sans"/>
        </w:rPr>
        <w:t>order to follow the same programme of testing as the other states and to accommodate an increase in the radioactivity of the samples, which results in a greater discharge of volatile beta emitters.</w:t>
      </w:r>
      <w:r>
        <w:rPr>
          <w:rFonts w:ascii="Liberation Sans" w:hAnsi="Liberation Sans"/>
        </w:rPr>
        <w:br/>
      </w:r>
    </w:p>
    <w:p w:rsidR="008F1C86" w:rsidRDefault="00CB5D4A">
      <w:pPr>
        <w:numPr>
          <w:ilvl w:val="1"/>
          <w:numId w:val="2"/>
        </w:numPr>
      </w:pPr>
      <w:r>
        <w:rPr>
          <w:rFonts w:ascii="Liberation Sans" w:hAnsi="Liberation Sans"/>
        </w:rPr>
        <w:t>AWE’s application does not offer any evidence to show tha</w:t>
      </w:r>
      <w:r>
        <w:rPr>
          <w:rFonts w:ascii="Liberation Sans" w:hAnsi="Liberation Sans"/>
        </w:rPr>
        <w:t xml:space="preserve">t running these exercises at the proposed frequency or using the more radioactive samples is necessary for maintaining their nuclear forensics capacity. The application specifically says that the specifics of the testing programme have been treated by AWE </w:t>
      </w:r>
      <w:r>
        <w:rPr>
          <w:rFonts w:ascii="Liberation Sans" w:hAnsi="Liberation Sans"/>
        </w:rPr>
        <w:t>as non-optional, that AWE does not have control over the radioactivity of the samples used, and that “key allies define the programme”. The obvious conclusion is that the frequency of testing and the nature of the samples used is determined by criteria oth</w:t>
      </w:r>
      <w:r>
        <w:rPr>
          <w:rFonts w:ascii="Liberation Sans" w:hAnsi="Liberation Sans"/>
        </w:rPr>
        <w:t>er than what is needed to maintain a nuclear forensics capacity in the UK.</w:t>
      </w:r>
      <w:r>
        <w:rPr>
          <w:rFonts w:ascii="Liberation Sans" w:hAnsi="Liberation Sans"/>
        </w:rPr>
        <w:br/>
      </w:r>
    </w:p>
    <w:p w:rsidR="008F1C86" w:rsidRDefault="00CB5D4A">
      <w:pPr>
        <w:numPr>
          <w:ilvl w:val="1"/>
          <w:numId w:val="2"/>
        </w:numPr>
      </w:pPr>
      <w:r>
        <w:rPr>
          <w:rFonts w:ascii="Liberation Sans" w:hAnsi="Liberation Sans"/>
        </w:rPr>
        <w:t>AWE do not appear to have given any consideration of whether the nuclear forensics capacity could be maintained with a reduced programme of calibration work so as to stay within th</w:t>
      </w:r>
      <w:r>
        <w:rPr>
          <w:rFonts w:ascii="Liberation Sans" w:hAnsi="Liberation Sans"/>
        </w:rPr>
        <w:t>e discharge limits set by their permit.</w:t>
      </w:r>
      <w:r>
        <w:rPr>
          <w:rFonts w:ascii="Liberation Sans" w:hAnsi="Liberation Sans"/>
        </w:rPr>
        <w:br/>
      </w:r>
    </w:p>
    <w:p w:rsidR="008F1C86" w:rsidRDefault="00CB5D4A">
      <w:pPr>
        <w:numPr>
          <w:ilvl w:val="1"/>
          <w:numId w:val="2"/>
        </w:numPr>
      </w:pPr>
      <w:r>
        <w:rPr>
          <w:rFonts w:ascii="Liberation Sans" w:hAnsi="Liberation Sans"/>
        </w:rPr>
        <w:t>It is a fundamental principle of the International Atomic Energy Agency Basic Safety Standards</w:t>
      </w:r>
      <w:r>
        <w:rPr>
          <w:rStyle w:val="FootnoteAnchor0"/>
          <w:rFonts w:ascii="Liberation Sans" w:hAnsi="Liberation Sans"/>
        </w:rPr>
        <w:footnoteReference w:id="5"/>
      </w:r>
      <w:r>
        <w:rPr>
          <w:rFonts w:ascii="Liberation Sans" w:hAnsi="Liberation Sans"/>
        </w:rPr>
        <w:t xml:space="preserve"> that activities that give rise to radiation risks need to be justified in terms of their overall benefit. AWE have failed to consider whether the societal benefit of maintaining a nuclear forensic capacity could be gained by an alternative programme of wo</w:t>
      </w:r>
      <w:r>
        <w:rPr>
          <w:rFonts w:ascii="Liberation Sans" w:hAnsi="Liberation Sans"/>
        </w:rPr>
        <w:t>rk, so they have manifestly failed to justify the proposed increase in the volatile beta discharges.</w:t>
      </w:r>
      <w:r>
        <w:rPr>
          <w:rFonts w:ascii="Liberation Sans" w:hAnsi="Liberation Sans"/>
        </w:rPr>
        <w:br/>
      </w:r>
    </w:p>
    <w:p w:rsidR="008F1C86" w:rsidRDefault="00CB5D4A">
      <w:pPr>
        <w:numPr>
          <w:ilvl w:val="1"/>
          <w:numId w:val="2"/>
        </w:numPr>
      </w:pPr>
      <w:r>
        <w:rPr>
          <w:rFonts w:ascii="Liberation Sans" w:hAnsi="Liberation Sans"/>
        </w:rPr>
        <w:t>NIS believes that this failure on its own is sufficient grounds for this application to be rejected.</w:t>
      </w:r>
      <w:r>
        <w:rPr>
          <w:rFonts w:ascii="Liberation Sans" w:hAnsi="Liberation Sans"/>
        </w:rPr>
        <w:br/>
      </w:r>
    </w:p>
    <w:p w:rsidR="008F1C86" w:rsidRDefault="00CB5D4A">
      <w:pPr>
        <w:numPr>
          <w:ilvl w:val="0"/>
          <w:numId w:val="1"/>
        </w:numPr>
        <w:rPr>
          <w:rFonts w:ascii="Liberation Sans" w:hAnsi="Liberation Sans"/>
        </w:rPr>
      </w:pPr>
      <w:r>
        <w:rPr>
          <w:rFonts w:ascii="Liberation Sans" w:hAnsi="Liberation Sans"/>
        </w:rPr>
        <w:t>AWE state in their application that it would be “gro</w:t>
      </w:r>
      <w:r>
        <w:rPr>
          <w:rFonts w:ascii="Liberation Sans" w:hAnsi="Liberation Sans"/>
        </w:rPr>
        <w:t>ssly disproportionate” to retrofit abatement technologies to their existing building. No evidence is given for this unsubstantiated assertion and the suggestion seems to have been rejected out of hand.</w:t>
      </w:r>
    </w:p>
    <w:p w:rsidR="008F1C86" w:rsidRDefault="00CB5D4A">
      <w:pPr>
        <w:numPr>
          <w:ilvl w:val="1"/>
          <w:numId w:val="3"/>
        </w:numPr>
      </w:pPr>
      <w:r>
        <w:rPr>
          <w:rFonts w:ascii="Liberation Sans" w:hAnsi="Liberation Sans"/>
        </w:rPr>
        <w:t>The environment agency guidance on Best Available Tech</w:t>
      </w:r>
      <w:r>
        <w:rPr>
          <w:rFonts w:ascii="Liberation Sans" w:hAnsi="Liberation Sans"/>
        </w:rPr>
        <w:t>niques (BAT) states that “</w:t>
      </w:r>
      <w:r>
        <w:rPr>
          <w:rFonts w:ascii="Liberation Sans" w:hAnsi="Liberation Sans" w:cs="Arial"/>
          <w:color w:val="000000"/>
        </w:rPr>
        <w:t>[i]f your technique won’t provide equivalent environmental protection, but you want to make a case that it’s justified on cost benefit grounds, you’ll need to provide a justification in the operating techniques section of the form</w:t>
      </w:r>
      <w:r>
        <w:rPr>
          <w:rFonts w:ascii="Liberation Sans" w:hAnsi="Liberation Sans" w:cs="Arial"/>
          <w:color w:val="000000"/>
        </w:rPr>
        <w:t xml:space="preserve"> and through your risk assessment and cost benefit analysis.”</w:t>
      </w:r>
      <w:r>
        <w:rPr>
          <w:rStyle w:val="FootnoteAnchor0"/>
          <w:rFonts w:ascii="Liberation Sans" w:hAnsi="Liberation Sans" w:cs="Arial"/>
          <w:color w:val="000000"/>
        </w:rPr>
        <w:footnoteReference w:id="6"/>
      </w:r>
      <w:r>
        <w:rPr>
          <w:rFonts w:ascii="Liberation Sans" w:hAnsi="Liberation Sans" w:cs="Arial"/>
          <w:color w:val="000000"/>
        </w:rPr>
        <w:br/>
      </w:r>
    </w:p>
    <w:p w:rsidR="008F1C86" w:rsidRDefault="00CB5D4A">
      <w:pPr>
        <w:numPr>
          <w:ilvl w:val="1"/>
          <w:numId w:val="3"/>
        </w:numPr>
      </w:pPr>
      <w:r>
        <w:rPr>
          <w:rFonts w:ascii="Liberation Sans" w:hAnsi="Liberation Sans"/>
        </w:rPr>
        <w:t>AWE are proposing not to use available abatement technologies but have not justified this with a cost benefit analysis. NIS believes this omission alone is also sufficient to warrant rejection</w:t>
      </w:r>
      <w:r>
        <w:rPr>
          <w:rFonts w:ascii="Liberation Sans" w:hAnsi="Liberation Sans"/>
        </w:rPr>
        <w:t xml:space="preserve"> of the application.</w:t>
      </w:r>
      <w:r>
        <w:rPr>
          <w:rFonts w:ascii="Liberation Sans" w:hAnsi="Liberation Sans"/>
        </w:rPr>
        <w:br/>
      </w:r>
    </w:p>
    <w:p w:rsidR="008F1C86" w:rsidRDefault="00CB5D4A">
      <w:pPr>
        <w:numPr>
          <w:ilvl w:val="0"/>
          <w:numId w:val="1"/>
        </w:numPr>
        <w:rPr>
          <w:rFonts w:ascii="Liberation Sans" w:hAnsi="Liberation Sans"/>
        </w:rPr>
      </w:pPr>
      <w:r>
        <w:rPr>
          <w:rFonts w:ascii="Liberation Sans" w:hAnsi="Liberation Sans"/>
        </w:rPr>
        <w:lastRenderedPageBreak/>
        <w:t>Both the BAT study and the assessment of the radioactive dose that the public would receive if the discharge limit were raised are internal AWE documents. It seems that both of these documents have been made available to the Environme</w:t>
      </w:r>
      <w:r>
        <w:rPr>
          <w:rFonts w:ascii="Liberation Sans" w:hAnsi="Liberation Sans"/>
        </w:rPr>
        <w:t xml:space="preserve">nt Agency, but they do not appear to have been made public and only summaries are given in the supporting documents for AWE’s application. It is not possible to assess the various assumptions and judgements that are made in these two key documents without </w:t>
      </w:r>
      <w:r>
        <w:rPr>
          <w:rFonts w:ascii="Liberation Sans" w:hAnsi="Liberation Sans"/>
        </w:rPr>
        <w:t>seeing them. NIS believes that the lack of opportunity to test these assumptions and judgements as part of the consultation process should prevent the application from being approved in its current form.</w:t>
      </w:r>
      <w:r>
        <w:rPr>
          <w:rFonts w:ascii="Liberation Sans" w:hAnsi="Liberation Sans"/>
        </w:rPr>
        <w:br/>
      </w:r>
    </w:p>
    <w:p w:rsidR="008F1C86" w:rsidRDefault="00CB5D4A">
      <w:pPr>
        <w:numPr>
          <w:ilvl w:val="0"/>
          <w:numId w:val="1"/>
        </w:numPr>
        <w:rPr>
          <w:rFonts w:ascii="Liberation Sans" w:hAnsi="Liberation Sans"/>
        </w:rPr>
      </w:pPr>
      <w:r>
        <w:rPr>
          <w:rFonts w:ascii="Liberation Sans" w:hAnsi="Liberation Sans"/>
        </w:rPr>
        <w:t>A particular concern is the lack of any information</w:t>
      </w:r>
      <w:r>
        <w:rPr>
          <w:rFonts w:ascii="Liberation Sans" w:hAnsi="Liberation Sans"/>
        </w:rPr>
        <w:t xml:space="preserve"> about how the modelling used to calculate the dose assessment simulates dispersal of the discharged volatile beta emitters from the site and the rate at which they are assumed to enter the food chain.</w:t>
      </w:r>
      <w:r>
        <w:rPr>
          <w:rFonts w:ascii="Liberation Sans" w:hAnsi="Liberation Sans"/>
        </w:rPr>
        <w:br/>
      </w:r>
    </w:p>
    <w:p w:rsidR="008F1C86" w:rsidRDefault="00CB5D4A">
      <w:pPr>
        <w:numPr>
          <w:ilvl w:val="0"/>
          <w:numId w:val="1"/>
        </w:numPr>
        <w:rPr>
          <w:rFonts w:ascii="Liberation Sans" w:hAnsi="Liberation Sans"/>
        </w:rPr>
      </w:pPr>
      <w:r>
        <w:rPr>
          <w:rFonts w:ascii="Liberation Sans" w:hAnsi="Liberation Sans"/>
        </w:rPr>
        <w:t>It is not clear whether the modelling assumes a stead</w:t>
      </w:r>
      <w:r>
        <w:rPr>
          <w:rFonts w:ascii="Liberation Sans" w:hAnsi="Liberation Sans"/>
        </w:rPr>
        <w:t>y dispersal of radionuclides over the time period covered by the limit. It is clear that the intended activity involves a small number of relatively large discharges, rather than a steady output. On a chart in AWE’s supporting documents, there is a dischar</w:t>
      </w:r>
      <w:r>
        <w:rPr>
          <w:rFonts w:ascii="Liberation Sans" w:hAnsi="Liberation Sans"/>
        </w:rPr>
        <w:t>ge of over 2MBq, almost half of the current limit, from one single incident. Depending on the dose modelling assumptions, a small number of larger discharges could have a significant effect on the estimated dose to a vulnerable member of the public, partic</w:t>
      </w:r>
      <w:r>
        <w:rPr>
          <w:rFonts w:ascii="Liberation Sans" w:hAnsi="Liberation Sans"/>
        </w:rPr>
        <w:t>ularly if they occurred in quick succession.</w:t>
      </w:r>
      <w:r>
        <w:rPr>
          <w:rFonts w:ascii="Liberation Sans" w:hAnsi="Liberation Sans"/>
        </w:rPr>
        <w:br/>
      </w:r>
    </w:p>
    <w:p w:rsidR="008F1C86" w:rsidRDefault="00CB5D4A">
      <w:pPr>
        <w:numPr>
          <w:ilvl w:val="0"/>
          <w:numId w:val="1"/>
        </w:numPr>
        <w:rPr>
          <w:rFonts w:ascii="Liberation Sans" w:hAnsi="Liberation Sans"/>
        </w:rPr>
      </w:pPr>
      <w:r>
        <w:rPr>
          <w:rFonts w:ascii="Liberation Sans" w:hAnsi="Liberation Sans"/>
        </w:rPr>
        <w:t>According to AWE’s figures, even in the worst case scenario they would only expect to release 64 MBq of volatile beta emitters a year, but they are requesting an increase to 100 MBq a year for ‘flexibility’. If</w:t>
      </w:r>
      <w:r>
        <w:rPr>
          <w:rFonts w:ascii="Liberation Sans" w:hAnsi="Liberation Sans"/>
        </w:rPr>
        <w:t xml:space="preserve"> the Environment Agency does allow AWE to increase their volatile beta limit, it should be increased to the ‘worst case’ scenario level, not arbitrarily set it at 56% above what AWE’s calculations say is necessary. If AWE have confidence in their figures t</w:t>
      </w:r>
      <w:r>
        <w:rPr>
          <w:rFonts w:ascii="Liberation Sans" w:hAnsi="Liberation Sans"/>
        </w:rPr>
        <w:t>hen 64MBq a year should be sufficient for their needs. If not, serious questions should be raised about the supporting documents AWE has provided for this application. AWE have provided no justification for this extra ‘headroom’, and it should not be grant</w:t>
      </w:r>
      <w:r>
        <w:rPr>
          <w:rFonts w:ascii="Liberation Sans" w:hAnsi="Liberation Sans"/>
        </w:rPr>
        <w:t>ed.</w:t>
      </w:r>
      <w:r>
        <w:rPr>
          <w:rFonts w:ascii="Liberation Sans" w:hAnsi="Liberation Sans"/>
        </w:rPr>
        <w:br/>
      </w:r>
    </w:p>
    <w:p w:rsidR="008F1C86" w:rsidRDefault="00CB5D4A">
      <w:pPr>
        <w:numPr>
          <w:ilvl w:val="0"/>
          <w:numId w:val="1"/>
        </w:numPr>
        <w:rPr>
          <w:rFonts w:ascii="Liberation Sans" w:hAnsi="Liberation Sans"/>
        </w:rPr>
      </w:pPr>
      <w:r>
        <w:rPr>
          <w:rFonts w:ascii="Liberation Sans" w:hAnsi="Liberation Sans"/>
        </w:rPr>
        <w:t>AWE’s supporting documents say that if they used the sample preparation methodology which would produce 64MBq a year, a release of this size “would only occur every three years”. If the application is approved a 3 year limit should also be set for the</w:t>
      </w:r>
      <w:r>
        <w:rPr>
          <w:rFonts w:ascii="Liberation Sans" w:hAnsi="Liberation Sans"/>
        </w:rPr>
        <w:t xml:space="preserve"> cumulative 3-year total discharge level anticipated in AWE’s ‘worst case’ scenario alongside a maximum annual discharge level of 64 Mbq.</w:t>
      </w:r>
      <w:r>
        <w:rPr>
          <w:rFonts w:ascii="Liberation Sans" w:hAnsi="Liberation Sans"/>
        </w:rPr>
        <w:br/>
      </w:r>
    </w:p>
    <w:p w:rsidR="008F1C86" w:rsidRDefault="00CB5D4A">
      <w:pPr>
        <w:numPr>
          <w:ilvl w:val="0"/>
          <w:numId w:val="1"/>
        </w:numPr>
      </w:pPr>
      <w:r>
        <w:rPr>
          <w:rFonts w:ascii="Liberation Sans" w:hAnsi="Liberation Sans"/>
        </w:rPr>
        <w:t>AWE’s supporting documents say there is no proven technique for monitoring emissions of volatile beta emissions. This</w:t>
      </w:r>
      <w:r>
        <w:rPr>
          <w:rFonts w:ascii="Liberation Sans" w:hAnsi="Liberation Sans"/>
        </w:rPr>
        <w:t xml:space="preserve"> is because there are no known measuring techniques for some of the isotopes involved and it is not possible to infer their quantities from the isotopes which can be measured. Instead AWE proposes not to monitor emissions, but instead to calculate estimate</w:t>
      </w:r>
      <w:r>
        <w:rPr>
          <w:rFonts w:ascii="Liberation Sans" w:hAnsi="Liberation Sans"/>
        </w:rPr>
        <w:t>d emissions based on their sample analysis. This is far from satisfactory, and whether or not an increase in the limit is granted, AWE should be required to monitor emissions for those isotopes where it is possible to take measurements, and use those measu</w:t>
      </w:r>
      <w:r>
        <w:rPr>
          <w:rFonts w:ascii="Liberation Sans" w:hAnsi="Liberation Sans"/>
        </w:rPr>
        <w:t>rements to verify their calculations.</w:t>
      </w:r>
      <w:r>
        <w:rPr>
          <w:rFonts w:ascii="Liberation Sans" w:hAnsi="Liberation Sans"/>
        </w:rPr>
        <w:br/>
      </w:r>
    </w:p>
    <w:p w:rsidR="008F1C86" w:rsidRDefault="00CB5D4A">
      <w:pPr>
        <w:numPr>
          <w:ilvl w:val="0"/>
          <w:numId w:val="1"/>
        </w:numPr>
        <w:rPr>
          <w:rFonts w:ascii="Liberation Sans" w:hAnsi="Liberation Sans"/>
        </w:rPr>
      </w:pPr>
      <w:r>
        <w:rPr>
          <w:rFonts w:ascii="Liberation Sans" w:hAnsi="Liberation Sans"/>
        </w:rPr>
        <w:t>It is implied that when AWE build a new Science, Engineering and Technology facility they will consider fitting abatement technology to that building. This is planned to be done in around five years. If the applicatio</w:t>
      </w:r>
      <w:r>
        <w:rPr>
          <w:rFonts w:ascii="Liberation Sans" w:hAnsi="Liberation Sans"/>
        </w:rPr>
        <w:t xml:space="preserve">n to raise the limit is granted, the increased level should be time-limited to five years and AWE should be required to fit abatement </w:t>
      </w:r>
      <w:r>
        <w:rPr>
          <w:rFonts w:ascii="Liberation Sans" w:hAnsi="Liberation Sans"/>
        </w:rPr>
        <w:lastRenderedPageBreak/>
        <w:t>technology to the new building.</w:t>
      </w:r>
      <w:r>
        <w:rPr>
          <w:rFonts w:ascii="Liberation Sans" w:hAnsi="Liberation Sans"/>
        </w:rPr>
        <w:br/>
      </w:r>
    </w:p>
    <w:p w:rsidR="008F1C86" w:rsidRDefault="00CB5D4A">
      <w:pPr>
        <w:numPr>
          <w:ilvl w:val="0"/>
          <w:numId w:val="1"/>
        </w:numPr>
      </w:pPr>
      <w:r>
        <w:rPr>
          <w:rFonts w:ascii="Liberation Sans" w:hAnsi="Liberation Sans"/>
        </w:rPr>
        <w:t>In conclusion, AWE have failed to properly investigate ways in which their desired progra</w:t>
      </w:r>
      <w:r>
        <w:rPr>
          <w:rFonts w:ascii="Liberation Sans" w:hAnsi="Liberation Sans"/>
        </w:rPr>
        <w:t>mme of work could be varied so as to fulfil its purpose without breaching the volatile beta discharge limits in its permit. They have dismissed the possibility of using retrofitting abatement technology, apparently without carrying out a full cost &amp; benefi</w:t>
      </w:r>
      <w:r>
        <w:rPr>
          <w:rFonts w:ascii="Liberation Sans" w:hAnsi="Liberation Sans"/>
        </w:rPr>
        <w:t>t analysis. They have not made the dose assessment or the detail of their BAT study public, meaning that it is impossible to properly scrutinise the claims in their application. The principle of increasing radioactive discharge limits runs counter to gover</w:t>
      </w:r>
      <w:r>
        <w:rPr>
          <w:rFonts w:ascii="Liberation Sans" w:hAnsi="Liberation Sans"/>
        </w:rPr>
        <w:t>nment policy and statutory guidance. As such, NIS believes there are multiple reasons for rejecting the application and hopes this will be the course the Environment Agency will take.</w:t>
      </w: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8F1C86">
      <w:pPr>
        <w:rPr>
          <w:rFonts w:ascii="Liberation Sans" w:hAnsi="Liberation Sans"/>
        </w:rPr>
      </w:pPr>
    </w:p>
    <w:p w:rsidR="008F1C86" w:rsidRDefault="00CB5D4A">
      <w:r>
        <w:rPr>
          <w:rFonts w:ascii="Liberation Sans" w:hAnsi="Liberation Sans"/>
        </w:rPr>
        <w:t xml:space="preserve">Published by the Nuclear </w:t>
      </w:r>
      <w:r>
        <w:rPr>
          <w:rFonts w:ascii="Liberation Sans" w:hAnsi="Liberation Sans"/>
        </w:rPr>
        <w:t>Information Service, 35-39 London Street, Reading RG1 4PS</w:t>
      </w:r>
    </w:p>
    <w:p w:rsidR="008F1C86" w:rsidRDefault="008F1C86">
      <w:hyperlink r:id="rId9">
        <w:r w:rsidR="00CB5D4A">
          <w:rPr>
            <w:rStyle w:val="InternetLink"/>
            <w:rFonts w:ascii="Liberation Sans" w:hAnsi="Liberation Sans"/>
          </w:rPr>
          <w:t>www.nuclearinfo.org</w:t>
        </w:r>
      </w:hyperlink>
      <w:r w:rsidR="00CB5D4A">
        <w:rPr>
          <w:rFonts w:ascii="Liberation Sans" w:hAnsi="Liberation Sans"/>
        </w:rPr>
        <w:tab/>
        <w:t>Twitter: @nuclearinfo</w:t>
      </w:r>
      <w:r w:rsidR="00CB5D4A">
        <w:rPr>
          <w:rFonts w:ascii="Liberation Sans" w:hAnsi="Liberation Sans"/>
        </w:rPr>
        <w:tab/>
        <w:t>www.facebook.com/NuclearInfo</w:t>
      </w:r>
    </w:p>
    <w:sectPr w:rsidR="008F1C86" w:rsidSect="008F1C86">
      <w:pgSz w:w="11906" w:h="16838"/>
      <w:pgMar w:top="1134" w:right="1134" w:bottom="1134"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D4A" w:rsidRDefault="00CB5D4A" w:rsidP="008F1C86">
      <w:r>
        <w:separator/>
      </w:r>
    </w:p>
  </w:endnote>
  <w:endnote w:type="continuationSeparator" w:id="1">
    <w:p w:rsidR="00CB5D4A" w:rsidRDefault="00CB5D4A" w:rsidP="008F1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D4A" w:rsidRDefault="00CB5D4A"/>
  </w:footnote>
  <w:footnote w:type="continuationSeparator" w:id="1">
    <w:p w:rsidR="00CB5D4A" w:rsidRDefault="00CB5D4A">
      <w:r>
        <w:continuationSeparator/>
      </w:r>
    </w:p>
  </w:footnote>
  <w:footnote w:id="2">
    <w:p w:rsidR="008F1C86" w:rsidRDefault="00CB5D4A">
      <w:pPr>
        <w:pStyle w:val="FootnoteText"/>
        <w:tabs>
          <w:tab w:val="left" w:pos="538"/>
        </w:tabs>
        <w:ind w:left="283" w:hanging="283"/>
      </w:pPr>
      <w:r>
        <w:rPr>
          <w:rFonts w:ascii="Liberation Sans" w:hAnsi="Liberation Sans"/>
          <w:sz w:val="20"/>
          <w:szCs w:val="20"/>
        </w:rPr>
        <w:footnoteRef/>
      </w:r>
      <w:r>
        <w:rPr>
          <w:rFonts w:ascii="Liberation Sans" w:hAnsi="Liberation Sans"/>
          <w:sz w:val="20"/>
          <w:szCs w:val="20"/>
        </w:rPr>
        <w:tab/>
        <w:t xml:space="preserve">Welsh </w:t>
      </w:r>
      <w:r>
        <w:rPr>
          <w:rFonts w:ascii="Liberation Sans" w:hAnsi="Liberation Sans"/>
          <w:sz w:val="20"/>
          <w:szCs w:val="20"/>
        </w:rPr>
        <w:t>Assembly Government, Department of the Environment, Scottish Government, and Department of Energy and Climate Change (2009): 'UK Strategy for Radioactive Discharges', July 2009.  Paragraph 4, pages vi-vii.</w:t>
      </w:r>
    </w:p>
  </w:footnote>
  <w:footnote w:id="3">
    <w:p w:rsidR="008F1C86" w:rsidRDefault="00CB5D4A">
      <w:pPr>
        <w:pStyle w:val="FootnoteText"/>
        <w:ind w:left="283" w:hanging="283"/>
      </w:pPr>
      <w:r>
        <w:rPr>
          <w:rFonts w:ascii="Liberation Sans" w:hAnsi="Liberation Sans"/>
          <w:sz w:val="20"/>
          <w:szCs w:val="20"/>
        </w:rPr>
        <w:footnoteRef/>
      </w:r>
      <w:r>
        <w:rPr>
          <w:rFonts w:ascii="Liberation Sans" w:hAnsi="Liberation Sans"/>
          <w:sz w:val="20"/>
          <w:szCs w:val="20"/>
        </w:rPr>
        <w:tab/>
        <w:t>Welsh Assembly Government, Department of the Env</w:t>
      </w:r>
      <w:r>
        <w:rPr>
          <w:rFonts w:ascii="Liberation Sans" w:hAnsi="Liberation Sans"/>
          <w:sz w:val="20"/>
          <w:szCs w:val="20"/>
        </w:rPr>
        <w:t>ironment, Scottish Government, and Department of Energy and Climate Change (2009): 'UK Strategy for Radioactive Discharges', July 2009. Paragraph 1, page vi.</w:t>
      </w:r>
    </w:p>
  </w:footnote>
  <w:footnote w:id="4">
    <w:p w:rsidR="008F1C86" w:rsidRDefault="00CB5D4A">
      <w:pPr>
        <w:pStyle w:val="FootnoteText"/>
        <w:ind w:left="283" w:hanging="283"/>
      </w:pPr>
      <w:r>
        <w:rPr>
          <w:rFonts w:ascii="Liberation Sans" w:hAnsi="Liberation Sans"/>
          <w:sz w:val="20"/>
          <w:szCs w:val="20"/>
        </w:rPr>
        <w:footnoteRef/>
      </w:r>
      <w:r>
        <w:rPr>
          <w:rFonts w:ascii="Liberation Sans" w:hAnsi="Liberation Sans"/>
          <w:sz w:val="20"/>
          <w:szCs w:val="20"/>
        </w:rPr>
        <w:tab/>
        <w:t>Department of Energy and Climate Change and Welsh Assembly Government (2009): 'Statutory Guidanc</w:t>
      </w:r>
      <w:r>
        <w:rPr>
          <w:rFonts w:ascii="Liberation Sans" w:hAnsi="Liberation Sans"/>
          <w:sz w:val="20"/>
          <w:szCs w:val="20"/>
        </w:rPr>
        <w:t>e to the Environment Agency concerning the regulation of radioactive discharges into the environment'. Paragraph 11, page 9.</w:t>
      </w:r>
    </w:p>
  </w:footnote>
  <w:footnote w:id="5">
    <w:p w:rsidR="008F1C86" w:rsidRPr="00635E04" w:rsidRDefault="00CB5D4A">
      <w:pPr>
        <w:pStyle w:val="FootnoteText"/>
        <w:rPr>
          <w:sz w:val="20"/>
          <w:szCs w:val="20"/>
        </w:rPr>
      </w:pPr>
      <w:r w:rsidRPr="00635E04">
        <w:rPr>
          <w:rFonts w:ascii="Liberation Sans" w:hAnsi="Liberation Sans"/>
          <w:sz w:val="20"/>
          <w:szCs w:val="20"/>
        </w:rPr>
        <w:footnoteRef/>
      </w:r>
      <w:r w:rsidR="00635E04">
        <w:rPr>
          <w:rFonts w:ascii="Liberation Sans" w:hAnsi="Liberation Sans"/>
          <w:sz w:val="20"/>
          <w:szCs w:val="20"/>
        </w:rPr>
        <w:t xml:space="preserve">    </w:t>
      </w:r>
      <w:r w:rsidRPr="00635E04">
        <w:rPr>
          <w:rFonts w:ascii="Liberation Sans" w:hAnsi="Liberation Sans"/>
          <w:sz w:val="20"/>
          <w:szCs w:val="20"/>
        </w:rPr>
        <w:t>https://www-pub.iaea.org/MTCD/Publications/PDF/Pub1578_web-57265295.pdf</w:t>
      </w:r>
    </w:p>
  </w:footnote>
  <w:footnote w:id="6">
    <w:p w:rsidR="008F1C86" w:rsidRDefault="00CB5D4A">
      <w:pPr>
        <w:pStyle w:val="FootnoteText"/>
      </w:pPr>
      <w:r w:rsidRPr="00635E04">
        <w:rPr>
          <w:rFonts w:ascii="Liberation Sans" w:hAnsi="Liberation Sans"/>
          <w:sz w:val="20"/>
          <w:szCs w:val="20"/>
        </w:rPr>
        <w:footnoteRef/>
      </w:r>
      <w:r w:rsidR="00635E04">
        <w:rPr>
          <w:rFonts w:ascii="Liberation Sans" w:hAnsi="Liberation Sans"/>
          <w:sz w:val="20"/>
          <w:szCs w:val="20"/>
        </w:rPr>
        <w:t xml:space="preserve">    </w:t>
      </w:r>
      <w:r w:rsidRPr="00635E04">
        <w:rPr>
          <w:rFonts w:ascii="Liberation Sans" w:hAnsi="Liberation Sans"/>
          <w:sz w:val="20"/>
          <w:szCs w:val="20"/>
        </w:rPr>
        <w:t>https://www.gov.uk/guidance/best-available-tech</w:t>
      </w:r>
      <w:r w:rsidRPr="00635E04">
        <w:rPr>
          <w:rFonts w:ascii="Liberation Sans" w:hAnsi="Liberation Sans"/>
          <w:sz w:val="20"/>
          <w:szCs w:val="20"/>
        </w:rPr>
        <w:t>niques-environmental-permits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8F9"/>
    <w:multiLevelType w:val="multilevel"/>
    <w:tmpl w:val="3828D7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D7621A0"/>
    <w:multiLevelType w:val="multilevel"/>
    <w:tmpl w:val="38A203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A62CCE"/>
    <w:multiLevelType w:val="multilevel"/>
    <w:tmpl w:val="2A02FC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0900D22"/>
    <w:multiLevelType w:val="multilevel"/>
    <w:tmpl w:val="22E8746E"/>
    <w:lvl w:ilvl="0">
      <w:start w:val="1"/>
      <w:numFmt w:val="decimal"/>
      <w:lvlText w:val="%1."/>
      <w:lvlJc w:val="left"/>
      <w:pPr>
        <w:tabs>
          <w:tab w:val="num" w:pos="360"/>
        </w:tabs>
        <w:ind w:left="360" w:hanging="360"/>
      </w:pPr>
      <w:rPr>
        <w:rFonts w:ascii="Liberation Sans" w:hAnsi="Liberation Sans" w:cs="Liberation San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8F1C86"/>
    <w:rsid w:val="00635E04"/>
    <w:rsid w:val="008F1C86"/>
    <w:rsid w:val="00CB5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D4"/>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7977D4"/>
    <w:rPr>
      <w:rFonts w:ascii="OpenSymbol" w:eastAsia="OpenSymbol" w:hAnsi="OpenSymbol" w:cs="OpenSymbol"/>
    </w:rPr>
  </w:style>
  <w:style w:type="character" w:customStyle="1" w:styleId="NumberingSymbols">
    <w:name w:val="Numbering Symbols"/>
    <w:qFormat/>
    <w:rsid w:val="007977D4"/>
  </w:style>
  <w:style w:type="character" w:customStyle="1" w:styleId="WW8Num2z0">
    <w:name w:val="WW8Num2z0"/>
    <w:qFormat/>
    <w:rsid w:val="007977D4"/>
    <w:rPr>
      <w:rFonts w:ascii="Arial" w:eastAsia="Arial" w:hAnsi="Arial" w:cs="Arial"/>
      <w:b w:val="0"/>
      <w:bCs w:val="0"/>
      <w:sz w:val="24"/>
      <w:szCs w:val="24"/>
    </w:rPr>
  </w:style>
  <w:style w:type="character" w:customStyle="1" w:styleId="WW8Num2z1">
    <w:name w:val="WW8Num2z1"/>
    <w:qFormat/>
    <w:rsid w:val="007977D4"/>
  </w:style>
  <w:style w:type="character" w:customStyle="1" w:styleId="WW8Num2z2">
    <w:name w:val="WW8Num2z2"/>
    <w:qFormat/>
    <w:rsid w:val="007977D4"/>
  </w:style>
  <w:style w:type="character" w:customStyle="1" w:styleId="WW8Num2z3">
    <w:name w:val="WW8Num2z3"/>
    <w:qFormat/>
    <w:rsid w:val="007977D4"/>
  </w:style>
  <w:style w:type="character" w:customStyle="1" w:styleId="WW8Num2z4">
    <w:name w:val="WW8Num2z4"/>
    <w:qFormat/>
    <w:rsid w:val="007977D4"/>
  </w:style>
  <w:style w:type="character" w:customStyle="1" w:styleId="WW8Num2z5">
    <w:name w:val="WW8Num2z5"/>
    <w:qFormat/>
    <w:rsid w:val="007977D4"/>
  </w:style>
  <w:style w:type="character" w:customStyle="1" w:styleId="WW8Num2z6">
    <w:name w:val="WW8Num2z6"/>
    <w:qFormat/>
    <w:rsid w:val="007977D4"/>
  </w:style>
  <w:style w:type="character" w:customStyle="1" w:styleId="WW8Num2z7">
    <w:name w:val="WW8Num2z7"/>
    <w:qFormat/>
    <w:rsid w:val="007977D4"/>
  </w:style>
  <w:style w:type="character" w:customStyle="1" w:styleId="WW8Num2z8">
    <w:name w:val="WW8Num2z8"/>
    <w:qFormat/>
    <w:rsid w:val="007977D4"/>
  </w:style>
  <w:style w:type="character" w:customStyle="1" w:styleId="Footnoteanchor">
    <w:name w:val="Footnote anchor"/>
    <w:qFormat/>
    <w:rsid w:val="007977D4"/>
    <w:rPr>
      <w:vertAlign w:val="superscript"/>
    </w:rPr>
  </w:style>
  <w:style w:type="character" w:customStyle="1" w:styleId="FootnoteCharacters">
    <w:name w:val="Footnote Characters"/>
    <w:qFormat/>
    <w:rsid w:val="007977D4"/>
  </w:style>
  <w:style w:type="character" w:customStyle="1" w:styleId="FootnoteAnchor0">
    <w:name w:val="Footnote Anchor"/>
    <w:rsid w:val="007977D4"/>
    <w:rPr>
      <w:vertAlign w:val="superscript"/>
    </w:rPr>
  </w:style>
  <w:style w:type="character" w:customStyle="1" w:styleId="InternetLink">
    <w:name w:val="Internet Link"/>
    <w:rsid w:val="007977D4"/>
    <w:rPr>
      <w:color w:val="000080"/>
      <w:u w:val="single"/>
    </w:rPr>
  </w:style>
  <w:style w:type="character" w:customStyle="1" w:styleId="EndnoteAnchor">
    <w:name w:val="Endnote Anchor"/>
    <w:rsid w:val="007977D4"/>
    <w:rPr>
      <w:vertAlign w:val="superscript"/>
    </w:rPr>
  </w:style>
  <w:style w:type="character" w:customStyle="1" w:styleId="EndnoteCharacters">
    <w:name w:val="Endnote Characters"/>
    <w:qFormat/>
    <w:rsid w:val="007977D4"/>
  </w:style>
  <w:style w:type="character" w:customStyle="1" w:styleId="ListLabel1">
    <w:name w:val="ListLabel 1"/>
    <w:qFormat/>
    <w:rsid w:val="008F1C86"/>
    <w:rPr>
      <w:rFonts w:ascii="Liberation Sans" w:hAnsi="Liberation Sans" w:cs="Liberation Sans"/>
    </w:rPr>
  </w:style>
  <w:style w:type="character" w:customStyle="1" w:styleId="ListLabel2">
    <w:name w:val="ListLabel 2"/>
    <w:qFormat/>
    <w:rsid w:val="008F1C86"/>
    <w:rPr>
      <w:rFonts w:cs="OpenSymbol"/>
    </w:rPr>
  </w:style>
  <w:style w:type="character" w:customStyle="1" w:styleId="ListLabel3">
    <w:name w:val="ListLabel 3"/>
    <w:qFormat/>
    <w:rsid w:val="008F1C86"/>
    <w:rPr>
      <w:rFonts w:cs="OpenSymbol"/>
    </w:rPr>
  </w:style>
  <w:style w:type="character" w:customStyle="1" w:styleId="ListLabel4">
    <w:name w:val="ListLabel 4"/>
    <w:qFormat/>
    <w:rsid w:val="008F1C86"/>
    <w:rPr>
      <w:rFonts w:cs="OpenSymbol"/>
    </w:rPr>
  </w:style>
  <w:style w:type="character" w:customStyle="1" w:styleId="ListLabel5">
    <w:name w:val="ListLabel 5"/>
    <w:qFormat/>
    <w:rsid w:val="008F1C86"/>
    <w:rPr>
      <w:rFonts w:cs="OpenSymbol"/>
    </w:rPr>
  </w:style>
  <w:style w:type="character" w:customStyle="1" w:styleId="ListLabel6">
    <w:name w:val="ListLabel 6"/>
    <w:qFormat/>
    <w:rsid w:val="008F1C86"/>
    <w:rPr>
      <w:rFonts w:cs="OpenSymbol"/>
    </w:rPr>
  </w:style>
  <w:style w:type="character" w:customStyle="1" w:styleId="ListLabel7">
    <w:name w:val="ListLabel 7"/>
    <w:qFormat/>
    <w:rsid w:val="008F1C86"/>
    <w:rPr>
      <w:rFonts w:cs="OpenSymbol"/>
    </w:rPr>
  </w:style>
  <w:style w:type="character" w:customStyle="1" w:styleId="ListLabel8">
    <w:name w:val="ListLabel 8"/>
    <w:qFormat/>
    <w:rsid w:val="008F1C86"/>
    <w:rPr>
      <w:rFonts w:cs="OpenSymbol"/>
    </w:rPr>
  </w:style>
  <w:style w:type="character" w:customStyle="1" w:styleId="ListLabel9">
    <w:name w:val="ListLabel 9"/>
    <w:qFormat/>
    <w:rsid w:val="008F1C86"/>
    <w:rPr>
      <w:rFonts w:cs="OpenSymbol"/>
    </w:rPr>
  </w:style>
  <w:style w:type="character" w:customStyle="1" w:styleId="ListLabel10">
    <w:name w:val="ListLabel 10"/>
    <w:qFormat/>
    <w:rsid w:val="008F1C86"/>
    <w:rPr>
      <w:rFonts w:cs="OpenSymbol"/>
    </w:rPr>
  </w:style>
  <w:style w:type="character" w:customStyle="1" w:styleId="ListLabel11">
    <w:name w:val="ListLabel 11"/>
    <w:qFormat/>
    <w:rsid w:val="008F1C86"/>
    <w:rPr>
      <w:rFonts w:cs="OpenSymbol"/>
    </w:rPr>
  </w:style>
  <w:style w:type="character" w:customStyle="1" w:styleId="ListLabel12">
    <w:name w:val="ListLabel 12"/>
    <w:qFormat/>
    <w:rsid w:val="008F1C86"/>
    <w:rPr>
      <w:rFonts w:cs="OpenSymbol"/>
    </w:rPr>
  </w:style>
  <w:style w:type="character" w:customStyle="1" w:styleId="ListLabel13">
    <w:name w:val="ListLabel 13"/>
    <w:qFormat/>
    <w:rsid w:val="008F1C86"/>
    <w:rPr>
      <w:rFonts w:cs="OpenSymbol"/>
    </w:rPr>
  </w:style>
  <w:style w:type="character" w:customStyle="1" w:styleId="ListLabel14">
    <w:name w:val="ListLabel 14"/>
    <w:qFormat/>
    <w:rsid w:val="008F1C86"/>
    <w:rPr>
      <w:rFonts w:cs="OpenSymbol"/>
    </w:rPr>
  </w:style>
  <w:style w:type="character" w:customStyle="1" w:styleId="ListLabel15">
    <w:name w:val="ListLabel 15"/>
    <w:qFormat/>
    <w:rsid w:val="008F1C86"/>
    <w:rPr>
      <w:rFonts w:cs="OpenSymbol"/>
    </w:rPr>
  </w:style>
  <w:style w:type="character" w:customStyle="1" w:styleId="ListLabel16">
    <w:name w:val="ListLabel 16"/>
    <w:qFormat/>
    <w:rsid w:val="008F1C86"/>
    <w:rPr>
      <w:rFonts w:cs="OpenSymbol"/>
    </w:rPr>
  </w:style>
  <w:style w:type="character" w:customStyle="1" w:styleId="ListLabel17">
    <w:name w:val="ListLabel 17"/>
    <w:qFormat/>
    <w:rsid w:val="008F1C86"/>
    <w:rPr>
      <w:rFonts w:cs="OpenSymbol"/>
    </w:rPr>
  </w:style>
  <w:style w:type="character" w:customStyle="1" w:styleId="ListLabel18">
    <w:name w:val="ListLabel 18"/>
    <w:qFormat/>
    <w:rsid w:val="008F1C86"/>
    <w:rPr>
      <w:rFonts w:cs="OpenSymbol"/>
    </w:rPr>
  </w:style>
  <w:style w:type="character" w:customStyle="1" w:styleId="ListLabel19">
    <w:name w:val="ListLabel 19"/>
    <w:qFormat/>
    <w:rsid w:val="008F1C86"/>
    <w:rPr>
      <w:rFonts w:cs="OpenSymbol"/>
    </w:rPr>
  </w:style>
  <w:style w:type="character" w:customStyle="1" w:styleId="ListLabel20">
    <w:name w:val="ListLabel 20"/>
    <w:qFormat/>
    <w:rsid w:val="008F1C86"/>
    <w:rPr>
      <w:rFonts w:cs="OpenSymbol"/>
    </w:rPr>
  </w:style>
  <w:style w:type="character" w:customStyle="1" w:styleId="ListLabel21">
    <w:name w:val="ListLabel 21"/>
    <w:qFormat/>
    <w:rsid w:val="008F1C86"/>
    <w:rPr>
      <w:rFonts w:cs="OpenSymbol"/>
    </w:rPr>
  </w:style>
  <w:style w:type="character" w:customStyle="1" w:styleId="ListLabel22">
    <w:name w:val="ListLabel 22"/>
    <w:qFormat/>
    <w:rsid w:val="008F1C86"/>
    <w:rPr>
      <w:rFonts w:cs="OpenSymbol"/>
    </w:rPr>
  </w:style>
  <w:style w:type="character" w:customStyle="1" w:styleId="ListLabel23">
    <w:name w:val="ListLabel 23"/>
    <w:qFormat/>
    <w:rsid w:val="008F1C86"/>
    <w:rPr>
      <w:rFonts w:cs="OpenSymbol"/>
    </w:rPr>
  </w:style>
  <w:style w:type="character" w:customStyle="1" w:styleId="ListLabel24">
    <w:name w:val="ListLabel 24"/>
    <w:qFormat/>
    <w:rsid w:val="008F1C86"/>
    <w:rPr>
      <w:rFonts w:cs="OpenSymbol"/>
    </w:rPr>
  </w:style>
  <w:style w:type="character" w:customStyle="1" w:styleId="ListLabel25">
    <w:name w:val="ListLabel 25"/>
    <w:qFormat/>
    <w:rsid w:val="008F1C86"/>
    <w:rPr>
      <w:rFonts w:cs="OpenSymbol"/>
    </w:rPr>
  </w:style>
  <w:style w:type="character" w:customStyle="1" w:styleId="ListLabel26">
    <w:name w:val="ListLabel 26"/>
    <w:qFormat/>
    <w:rsid w:val="008F1C86"/>
    <w:rPr>
      <w:rFonts w:cs="OpenSymbol"/>
    </w:rPr>
  </w:style>
  <w:style w:type="character" w:customStyle="1" w:styleId="ListLabel27">
    <w:name w:val="ListLabel 27"/>
    <w:qFormat/>
    <w:rsid w:val="008F1C86"/>
    <w:rPr>
      <w:rFonts w:cs="OpenSymbol"/>
    </w:rPr>
  </w:style>
  <w:style w:type="character" w:customStyle="1" w:styleId="ListLabel28">
    <w:name w:val="ListLabel 28"/>
    <w:qFormat/>
    <w:rsid w:val="008F1C86"/>
    <w:rPr>
      <w:rFonts w:cs="OpenSymbol"/>
    </w:rPr>
  </w:style>
  <w:style w:type="character" w:customStyle="1" w:styleId="ListLabel29">
    <w:name w:val="ListLabel 29"/>
    <w:qFormat/>
    <w:rsid w:val="008F1C86"/>
    <w:rPr>
      <w:rFonts w:cs="OpenSymbol"/>
    </w:rPr>
  </w:style>
  <w:style w:type="character" w:customStyle="1" w:styleId="ListLabel30">
    <w:name w:val="ListLabel 30"/>
    <w:qFormat/>
    <w:rsid w:val="008F1C86"/>
    <w:rPr>
      <w:rFonts w:cs="OpenSymbol"/>
    </w:rPr>
  </w:style>
  <w:style w:type="character" w:customStyle="1" w:styleId="ListLabel31">
    <w:name w:val="ListLabel 31"/>
    <w:qFormat/>
    <w:rsid w:val="008F1C86"/>
    <w:rPr>
      <w:rFonts w:cs="OpenSymbol"/>
    </w:rPr>
  </w:style>
  <w:style w:type="character" w:customStyle="1" w:styleId="ListLabel32">
    <w:name w:val="ListLabel 32"/>
    <w:qFormat/>
    <w:rsid w:val="008F1C86"/>
    <w:rPr>
      <w:rFonts w:cs="OpenSymbol"/>
    </w:rPr>
  </w:style>
  <w:style w:type="character" w:customStyle="1" w:styleId="ListLabel33">
    <w:name w:val="ListLabel 33"/>
    <w:qFormat/>
    <w:rsid w:val="008F1C86"/>
    <w:rPr>
      <w:rFonts w:cs="OpenSymbol"/>
    </w:rPr>
  </w:style>
  <w:style w:type="character" w:customStyle="1" w:styleId="ListLabel34">
    <w:name w:val="ListLabel 34"/>
    <w:qFormat/>
    <w:rsid w:val="008F1C86"/>
    <w:rPr>
      <w:rFonts w:cs="OpenSymbol"/>
    </w:rPr>
  </w:style>
  <w:style w:type="character" w:customStyle="1" w:styleId="ListLabel35">
    <w:name w:val="ListLabel 35"/>
    <w:qFormat/>
    <w:rsid w:val="008F1C86"/>
    <w:rPr>
      <w:rFonts w:cs="OpenSymbol"/>
    </w:rPr>
  </w:style>
  <w:style w:type="character" w:customStyle="1" w:styleId="ListLabel36">
    <w:name w:val="ListLabel 36"/>
    <w:qFormat/>
    <w:rsid w:val="008F1C86"/>
    <w:rPr>
      <w:rFonts w:cs="OpenSymbol"/>
    </w:rPr>
  </w:style>
  <w:style w:type="character" w:customStyle="1" w:styleId="ListLabel37">
    <w:name w:val="ListLabel 37"/>
    <w:qFormat/>
    <w:rsid w:val="008F1C86"/>
    <w:rPr>
      <w:rFonts w:cs="OpenSymbol"/>
    </w:rPr>
  </w:style>
  <w:style w:type="character" w:customStyle="1" w:styleId="ListLabel38">
    <w:name w:val="ListLabel 38"/>
    <w:qFormat/>
    <w:rsid w:val="008F1C86"/>
    <w:rPr>
      <w:rFonts w:ascii="Liberation Sans" w:hAnsi="Liberation Sans" w:cs="Liberation Sans"/>
    </w:rPr>
  </w:style>
  <w:style w:type="character" w:customStyle="1" w:styleId="ListLabel39">
    <w:name w:val="ListLabel 39"/>
    <w:qFormat/>
    <w:rsid w:val="008F1C86"/>
    <w:rPr>
      <w:rFonts w:cs="OpenSymbol"/>
    </w:rPr>
  </w:style>
  <w:style w:type="character" w:customStyle="1" w:styleId="ListLabel40">
    <w:name w:val="ListLabel 40"/>
    <w:qFormat/>
    <w:rsid w:val="008F1C86"/>
    <w:rPr>
      <w:rFonts w:cs="OpenSymbol"/>
    </w:rPr>
  </w:style>
  <w:style w:type="character" w:customStyle="1" w:styleId="ListLabel41">
    <w:name w:val="ListLabel 41"/>
    <w:qFormat/>
    <w:rsid w:val="008F1C86"/>
    <w:rPr>
      <w:rFonts w:cs="OpenSymbol"/>
    </w:rPr>
  </w:style>
  <w:style w:type="character" w:customStyle="1" w:styleId="ListLabel42">
    <w:name w:val="ListLabel 42"/>
    <w:qFormat/>
    <w:rsid w:val="008F1C86"/>
    <w:rPr>
      <w:rFonts w:cs="OpenSymbol"/>
    </w:rPr>
  </w:style>
  <w:style w:type="character" w:customStyle="1" w:styleId="ListLabel43">
    <w:name w:val="ListLabel 43"/>
    <w:qFormat/>
    <w:rsid w:val="008F1C86"/>
    <w:rPr>
      <w:rFonts w:cs="OpenSymbol"/>
    </w:rPr>
  </w:style>
  <w:style w:type="character" w:customStyle="1" w:styleId="ListLabel44">
    <w:name w:val="ListLabel 44"/>
    <w:qFormat/>
    <w:rsid w:val="008F1C86"/>
    <w:rPr>
      <w:rFonts w:cs="OpenSymbol"/>
    </w:rPr>
  </w:style>
  <w:style w:type="character" w:customStyle="1" w:styleId="ListLabel45">
    <w:name w:val="ListLabel 45"/>
    <w:qFormat/>
    <w:rsid w:val="008F1C86"/>
    <w:rPr>
      <w:rFonts w:cs="OpenSymbol"/>
    </w:rPr>
  </w:style>
  <w:style w:type="character" w:customStyle="1" w:styleId="ListLabel46">
    <w:name w:val="ListLabel 46"/>
    <w:qFormat/>
    <w:rsid w:val="008F1C86"/>
    <w:rPr>
      <w:rFonts w:cs="OpenSymbol"/>
    </w:rPr>
  </w:style>
  <w:style w:type="character" w:customStyle="1" w:styleId="ListLabel47">
    <w:name w:val="ListLabel 47"/>
    <w:qFormat/>
    <w:rsid w:val="008F1C86"/>
    <w:rPr>
      <w:rFonts w:cs="OpenSymbol"/>
    </w:rPr>
  </w:style>
  <w:style w:type="character" w:customStyle="1" w:styleId="ListLabel48">
    <w:name w:val="ListLabel 48"/>
    <w:qFormat/>
    <w:rsid w:val="008F1C86"/>
    <w:rPr>
      <w:rFonts w:cs="OpenSymbol"/>
    </w:rPr>
  </w:style>
  <w:style w:type="character" w:customStyle="1" w:styleId="ListLabel49">
    <w:name w:val="ListLabel 49"/>
    <w:qFormat/>
    <w:rsid w:val="008F1C86"/>
    <w:rPr>
      <w:rFonts w:cs="OpenSymbol"/>
    </w:rPr>
  </w:style>
  <w:style w:type="character" w:customStyle="1" w:styleId="ListLabel50">
    <w:name w:val="ListLabel 50"/>
    <w:qFormat/>
    <w:rsid w:val="008F1C86"/>
    <w:rPr>
      <w:rFonts w:cs="OpenSymbol"/>
    </w:rPr>
  </w:style>
  <w:style w:type="character" w:customStyle="1" w:styleId="ListLabel51">
    <w:name w:val="ListLabel 51"/>
    <w:qFormat/>
    <w:rsid w:val="008F1C86"/>
    <w:rPr>
      <w:rFonts w:cs="OpenSymbol"/>
    </w:rPr>
  </w:style>
  <w:style w:type="character" w:customStyle="1" w:styleId="ListLabel52">
    <w:name w:val="ListLabel 52"/>
    <w:qFormat/>
    <w:rsid w:val="008F1C86"/>
    <w:rPr>
      <w:rFonts w:cs="OpenSymbol"/>
    </w:rPr>
  </w:style>
  <w:style w:type="character" w:customStyle="1" w:styleId="ListLabel53">
    <w:name w:val="ListLabel 53"/>
    <w:qFormat/>
    <w:rsid w:val="008F1C86"/>
    <w:rPr>
      <w:rFonts w:cs="OpenSymbol"/>
    </w:rPr>
  </w:style>
  <w:style w:type="character" w:customStyle="1" w:styleId="ListLabel54">
    <w:name w:val="ListLabel 54"/>
    <w:qFormat/>
    <w:rsid w:val="008F1C86"/>
    <w:rPr>
      <w:rFonts w:cs="OpenSymbol"/>
    </w:rPr>
  </w:style>
  <w:style w:type="character" w:customStyle="1" w:styleId="ListLabel55">
    <w:name w:val="ListLabel 55"/>
    <w:qFormat/>
    <w:rsid w:val="008F1C86"/>
    <w:rPr>
      <w:rFonts w:cs="OpenSymbol"/>
    </w:rPr>
  </w:style>
  <w:style w:type="character" w:customStyle="1" w:styleId="ListLabel56">
    <w:name w:val="ListLabel 56"/>
    <w:qFormat/>
    <w:rsid w:val="008F1C86"/>
    <w:rPr>
      <w:rFonts w:cs="OpenSymbol"/>
    </w:rPr>
  </w:style>
  <w:style w:type="character" w:customStyle="1" w:styleId="ListLabel57">
    <w:name w:val="ListLabel 57"/>
    <w:qFormat/>
    <w:rsid w:val="008F1C86"/>
    <w:rPr>
      <w:rFonts w:ascii="Liberation Sans" w:hAnsi="Liberation Sans" w:cs="Liberation Sans"/>
    </w:rPr>
  </w:style>
  <w:style w:type="character" w:customStyle="1" w:styleId="ListLabel58">
    <w:name w:val="ListLabel 58"/>
    <w:qFormat/>
    <w:rsid w:val="008F1C86"/>
    <w:rPr>
      <w:rFonts w:cs="OpenSymbol"/>
    </w:rPr>
  </w:style>
  <w:style w:type="character" w:customStyle="1" w:styleId="ListLabel59">
    <w:name w:val="ListLabel 59"/>
    <w:qFormat/>
    <w:rsid w:val="008F1C86"/>
    <w:rPr>
      <w:rFonts w:cs="OpenSymbol"/>
    </w:rPr>
  </w:style>
  <w:style w:type="character" w:customStyle="1" w:styleId="ListLabel60">
    <w:name w:val="ListLabel 60"/>
    <w:qFormat/>
    <w:rsid w:val="008F1C86"/>
    <w:rPr>
      <w:rFonts w:cs="OpenSymbol"/>
    </w:rPr>
  </w:style>
  <w:style w:type="character" w:customStyle="1" w:styleId="ListLabel61">
    <w:name w:val="ListLabel 61"/>
    <w:qFormat/>
    <w:rsid w:val="008F1C86"/>
    <w:rPr>
      <w:rFonts w:cs="OpenSymbol"/>
    </w:rPr>
  </w:style>
  <w:style w:type="character" w:customStyle="1" w:styleId="ListLabel62">
    <w:name w:val="ListLabel 62"/>
    <w:qFormat/>
    <w:rsid w:val="008F1C86"/>
    <w:rPr>
      <w:rFonts w:cs="OpenSymbol"/>
    </w:rPr>
  </w:style>
  <w:style w:type="character" w:customStyle="1" w:styleId="ListLabel63">
    <w:name w:val="ListLabel 63"/>
    <w:qFormat/>
    <w:rsid w:val="008F1C86"/>
    <w:rPr>
      <w:rFonts w:cs="OpenSymbol"/>
    </w:rPr>
  </w:style>
  <w:style w:type="character" w:customStyle="1" w:styleId="ListLabel64">
    <w:name w:val="ListLabel 64"/>
    <w:qFormat/>
    <w:rsid w:val="008F1C86"/>
    <w:rPr>
      <w:rFonts w:cs="OpenSymbol"/>
    </w:rPr>
  </w:style>
  <w:style w:type="character" w:customStyle="1" w:styleId="ListLabel65">
    <w:name w:val="ListLabel 65"/>
    <w:qFormat/>
    <w:rsid w:val="008F1C86"/>
    <w:rPr>
      <w:rFonts w:cs="OpenSymbol"/>
    </w:rPr>
  </w:style>
  <w:style w:type="character" w:customStyle="1" w:styleId="ListLabel66">
    <w:name w:val="ListLabel 66"/>
    <w:qFormat/>
    <w:rsid w:val="008F1C86"/>
    <w:rPr>
      <w:rFonts w:cs="OpenSymbol"/>
    </w:rPr>
  </w:style>
  <w:style w:type="character" w:customStyle="1" w:styleId="ListLabel67">
    <w:name w:val="ListLabel 67"/>
    <w:qFormat/>
    <w:rsid w:val="008F1C86"/>
    <w:rPr>
      <w:rFonts w:cs="OpenSymbol"/>
    </w:rPr>
  </w:style>
  <w:style w:type="character" w:customStyle="1" w:styleId="ListLabel68">
    <w:name w:val="ListLabel 68"/>
    <w:qFormat/>
    <w:rsid w:val="008F1C86"/>
    <w:rPr>
      <w:rFonts w:cs="OpenSymbol"/>
    </w:rPr>
  </w:style>
  <w:style w:type="character" w:customStyle="1" w:styleId="ListLabel69">
    <w:name w:val="ListLabel 69"/>
    <w:qFormat/>
    <w:rsid w:val="008F1C86"/>
    <w:rPr>
      <w:rFonts w:cs="OpenSymbol"/>
    </w:rPr>
  </w:style>
  <w:style w:type="character" w:customStyle="1" w:styleId="ListLabel70">
    <w:name w:val="ListLabel 70"/>
    <w:qFormat/>
    <w:rsid w:val="008F1C86"/>
    <w:rPr>
      <w:rFonts w:cs="OpenSymbol"/>
    </w:rPr>
  </w:style>
  <w:style w:type="character" w:customStyle="1" w:styleId="ListLabel71">
    <w:name w:val="ListLabel 71"/>
    <w:qFormat/>
    <w:rsid w:val="008F1C86"/>
    <w:rPr>
      <w:rFonts w:cs="OpenSymbol"/>
    </w:rPr>
  </w:style>
  <w:style w:type="character" w:customStyle="1" w:styleId="ListLabel72">
    <w:name w:val="ListLabel 72"/>
    <w:qFormat/>
    <w:rsid w:val="008F1C86"/>
    <w:rPr>
      <w:rFonts w:cs="OpenSymbol"/>
    </w:rPr>
  </w:style>
  <w:style w:type="character" w:customStyle="1" w:styleId="ListLabel73">
    <w:name w:val="ListLabel 73"/>
    <w:qFormat/>
    <w:rsid w:val="008F1C86"/>
    <w:rPr>
      <w:rFonts w:cs="OpenSymbol"/>
    </w:rPr>
  </w:style>
  <w:style w:type="character" w:customStyle="1" w:styleId="ListLabel74">
    <w:name w:val="ListLabel 74"/>
    <w:qFormat/>
    <w:rsid w:val="008F1C86"/>
    <w:rPr>
      <w:rFonts w:cs="OpenSymbol"/>
    </w:rPr>
  </w:style>
  <w:style w:type="character" w:customStyle="1" w:styleId="ListLabel75">
    <w:name w:val="ListLabel 75"/>
    <w:qFormat/>
    <w:rsid w:val="008F1C86"/>
    <w:rPr>
      <w:rFonts w:cs="OpenSymbol"/>
    </w:rPr>
  </w:style>
  <w:style w:type="character" w:customStyle="1" w:styleId="ListLabel76">
    <w:name w:val="ListLabel 76"/>
    <w:qFormat/>
    <w:rsid w:val="008F1C86"/>
    <w:rPr>
      <w:rFonts w:ascii="Liberation Sans" w:hAnsi="Liberation Sans" w:cs="Liberation Sans"/>
    </w:rPr>
  </w:style>
  <w:style w:type="character" w:customStyle="1" w:styleId="ListLabel77">
    <w:name w:val="ListLabel 77"/>
    <w:qFormat/>
    <w:rsid w:val="008F1C86"/>
    <w:rPr>
      <w:rFonts w:cs="OpenSymbol"/>
    </w:rPr>
  </w:style>
  <w:style w:type="character" w:customStyle="1" w:styleId="ListLabel78">
    <w:name w:val="ListLabel 78"/>
    <w:qFormat/>
    <w:rsid w:val="008F1C86"/>
    <w:rPr>
      <w:rFonts w:cs="OpenSymbol"/>
    </w:rPr>
  </w:style>
  <w:style w:type="character" w:customStyle="1" w:styleId="ListLabel79">
    <w:name w:val="ListLabel 79"/>
    <w:qFormat/>
    <w:rsid w:val="008F1C86"/>
    <w:rPr>
      <w:rFonts w:cs="OpenSymbol"/>
    </w:rPr>
  </w:style>
  <w:style w:type="character" w:customStyle="1" w:styleId="ListLabel80">
    <w:name w:val="ListLabel 80"/>
    <w:qFormat/>
    <w:rsid w:val="008F1C86"/>
    <w:rPr>
      <w:rFonts w:cs="OpenSymbol"/>
    </w:rPr>
  </w:style>
  <w:style w:type="character" w:customStyle="1" w:styleId="ListLabel81">
    <w:name w:val="ListLabel 81"/>
    <w:qFormat/>
    <w:rsid w:val="008F1C86"/>
    <w:rPr>
      <w:rFonts w:cs="OpenSymbol"/>
    </w:rPr>
  </w:style>
  <w:style w:type="character" w:customStyle="1" w:styleId="ListLabel82">
    <w:name w:val="ListLabel 82"/>
    <w:qFormat/>
    <w:rsid w:val="008F1C86"/>
    <w:rPr>
      <w:rFonts w:cs="OpenSymbol"/>
    </w:rPr>
  </w:style>
  <w:style w:type="character" w:customStyle="1" w:styleId="ListLabel83">
    <w:name w:val="ListLabel 83"/>
    <w:qFormat/>
    <w:rsid w:val="008F1C86"/>
    <w:rPr>
      <w:rFonts w:cs="OpenSymbol"/>
    </w:rPr>
  </w:style>
  <w:style w:type="character" w:customStyle="1" w:styleId="ListLabel84">
    <w:name w:val="ListLabel 84"/>
    <w:qFormat/>
    <w:rsid w:val="008F1C86"/>
    <w:rPr>
      <w:rFonts w:cs="OpenSymbol"/>
    </w:rPr>
  </w:style>
  <w:style w:type="character" w:customStyle="1" w:styleId="ListLabel85">
    <w:name w:val="ListLabel 85"/>
    <w:qFormat/>
    <w:rsid w:val="008F1C86"/>
    <w:rPr>
      <w:rFonts w:cs="OpenSymbol"/>
    </w:rPr>
  </w:style>
  <w:style w:type="character" w:customStyle="1" w:styleId="ListLabel86">
    <w:name w:val="ListLabel 86"/>
    <w:qFormat/>
    <w:rsid w:val="008F1C86"/>
    <w:rPr>
      <w:rFonts w:cs="OpenSymbol"/>
    </w:rPr>
  </w:style>
  <w:style w:type="character" w:customStyle="1" w:styleId="ListLabel87">
    <w:name w:val="ListLabel 87"/>
    <w:qFormat/>
    <w:rsid w:val="008F1C86"/>
    <w:rPr>
      <w:rFonts w:cs="OpenSymbol"/>
    </w:rPr>
  </w:style>
  <w:style w:type="character" w:customStyle="1" w:styleId="ListLabel88">
    <w:name w:val="ListLabel 88"/>
    <w:qFormat/>
    <w:rsid w:val="008F1C86"/>
    <w:rPr>
      <w:rFonts w:cs="OpenSymbol"/>
    </w:rPr>
  </w:style>
  <w:style w:type="character" w:customStyle="1" w:styleId="ListLabel89">
    <w:name w:val="ListLabel 89"/>
    <w:qFormat/>
    <w:rsid w:val="008F1C86"/>
    <w:rPr>
      <w:rFonts w:cs="OpenSymbol"/>
    </w:rPr>
  </w:style>
  <w:style w:type="character" w:customStyle="1" w:styleId="ListLabel90">
    <w:name w:val="ListLabel 90"/>
    <w:qFormat/>
    <w:rsid w:val="008F1C86"/>
    <w:rPr>
      <w:rFonts w:cs="OpenSymbol"/>
    </w:rPr>
  </w:style>
  <w:style w:type="character" w:customStyle="1" w:styleId="ListLabel91">
    <w:name w:val="ListLabel 91"/>
    <w:qFormat/>
    <w:rsid w:val="008F1C86"/>
    <w:rPr>
      <w:rFonts w:cs="OpenSymbol"/>
    </w:rPr>
  </w:style>
  <w:style w:type="character" w:customStyle="1" w:styleId="ListLabel92">
    <w:name w:val="ListLabel 92"/>
    <w:qFormat/>
    <w:rsid w:val="008F1C86"/>
    <w:rPr>
      <w:rFonts w:cs="OpenSymbol"/>
    </w:rPr>
  </w:style>
  <w:style w:type="character" w:customStyle="1" w:styleId="ListLabel93">
    <w:name w:val="ListLabel 93"/>
    <w:qFormat/>
    <w:rsid w:val="008F1C86"/>
    <w:rPr>
      <w:rFonts w:cs="OpenSymbol"/>
    </w:rPr>
  </w:style>
  <w:style w:type="character" w:customStyle="1" w:styleId="ListLabel94">
    <w:name w:val="ListLabel 94"/>
    <w:qFormat/>
    <w:rsid w:val="008F1C86"/>
    <w:rPr>
      <w:rFonts w:cs="OpenSymbol"/>
    </w:rPr>
  </w:style>
  <w:style w:type="character" w:customStyle="1" w:styleId="ListLabel95">
    <w:name w:val="ListLabel 95"/>
    <w:qFormat/>
    <w:rsid w:val="008F1C86"/>
    <w:rPr>
      <w:rFonts w:ascii="Liberation Sans" w:hAnsi="Liberation Sans" w:cs="Liberation Sans"/>
    </w:rPr>
  </w:style>
  <w:style w:type="character" w:customStyle="1" w:styleId="ListLabel96">
    <w:name w:val="ListLabel 96"/>
    <w:qFormat/>
    <w:rsid w:val="008F1C86"/>
    <w:rPr>
      <w:rFonts w:cs="OpenSymbol"/>
    </w:rPr>
  </w:style>
  <w:style w:type="character" w:customStyle="1" w:styleId="ListLabel97">
    <w:name w:val="ListLabel 97"/>
    <w:qFormat/>
    <w:rsid w:val="008F1C86"/>
    <w:rPr>
      <w:rFonts w:cs="OpenSymbol"/>
    </w:rPr>
  </w:style>
  <w:style w:type="character" w:customStyle="1" w:styleId="ListLabel98">
    <w:name w:val="ListLabel 98"/>
    <w:qFormat/>
    <w:rsid w:val="008F1C86"/>
    <w:rPr>
      <w:rFonts w:cs="OpenSymbol"/>
    </w:rPr>
  </w:style>
  <w:style w:type="character" w:customStyle="1" w:styleId="ListLabel99">
    <w:name w:val="ListLabel 99"/>
    <w:qFormat/>
    <w:rsid w:val="008F1C86"/>
    <w:rPr>
      <w:rFonts w:cs="OpenSymbol"/>
    </w:rPr>
  </w:style>
  <w:style w:type="character" w:customStyle="1" w:styleId="ListLabel100">
    <w:name w:val="ListLabel 100"/>
    <w:qFormat/>
    <w:rsid w:val="008F1C86"/>
    <w:rPr>
      <w:rFonts w:cs="OpenSymbol"/>
    </w:rPr>
  </w:style>
  <w:style w:type="character" w:customStyle="1" w:styleId="ListLabel101">
    <w:name w:val="ListLabel 101"/>
    <w:qFormat/>
    <w:rsid w:val="008F1C86"/>
    <w:rPr>
      <w:rFonts w:cs="OpenSymbol"/>
    </w:rPr>
  </w:style>
  <w:style w:type="character" w:customStyle="1" w:styleId="ListLabel102">
    <w:name w:val="ListLabel 102"/>
    <w:qFormat/>
    <w:rsid w:val="008F1C86"/>
    <w:rPr>
      <w:rFonts w:cs="OpenSymbol"/>
    </w:rPr>
  </w:style>
  <w:style w:type="character" w:customStyle="1" w:styleId="ListLabel103">
    <w:name w:val="ListLabel 103"/>
    <w:qFormat/>
    <w:rsid w:val="008F1C86"/>
    <w:rPr>
      <w:rFonts w:cs="OpenSymbol"/>
    </w:rPr>
  </w:style>
  <w:style w:type="character" w:customStyle="1" w:styleId="ListLabel104">
    <w:name w:val="ListLabel 104"/>
    <w:qFormat/>
    <w:rsid w:val="008F1C86"/>
    <w:rPr>
      <w:rFonts w:cs="OpenSymbol"/>
    </w:rPr>
  </w:style>
  <w:style w:type="character" w:customStyle="1" w:styleId="ListLabel105">
    <w:name w:val="ListLabel 105"/>
    <w:qFormat/>
    <w:rsid w:val="008F1C86"/>
    <w:rPr>
      <w:rFonts w:cs="OpenSymbol"/>
    </w:rPr>
  </w:style>
  <w:style w:type="character" w:customStyle="1" w:styleId="ListLabel106">
    <w:name w:val="ListLabel 106"/>
    <w:qFormat/>
    <w:rsid w:val="008F1C86"/>
    <w:rPr>
      <w:rFonts w:cs="OpenSymbol"/>
    </w:rPr>
  </w:style>
  <w:style w:type="character" w:customStyle="1" w:styleId="ListLabel107">
    <w:name w:val="ListLabel 107"/>
    <w:qFormat/>
    <w:rsid w:val="008F1C86"/>
    <w:rPr>
      <w:rFonts w:cs="OpenSymbol"/>
    </w:rPr>
  </w:style>
  <w:style w:type="character" w:customStyle="1" w:styleId="ListLabel108">
    <w:name w:val="ListLabel 108"/>
    <w:qFormat/>
    <w:rsid w:val="008F1C86"/>
    <w:rPr>
      <w:rFonts w:cs="OpenSymbol"/>
    </w:rPr>
  </w:style>
  <w:style w:type="character" w:customStyle="1" w:styleId="ListLabel109">
    <w:name w:val="ListLabel 109"/>
    <w:qFormat/>
    <w:rsid w:val="008F1C86"/>
    <w:rPr>
      <w:rFonts w:cs="OpenSymbol"/>
    </w:rPr>
  </w:style>
  <w:style w:type="character" w:customStyle="1" w:styleId="ListLabel110">
    <w:name w:val="ListLabel 110"/>
    <w:qFormat/>
    <w:rsid w:val="008F1C86"/>
    <w:rPr>
      <w:rFonts w:cs="OpenSymbol"/>
    </w:rPr>
  </w:style>
  <w:style w:type="character" w:customStyle="1" w:styleId="ListLabel111">
    <w:name w:val="ListLabel 111"/>
    <w:qFormat/>
    <w:rsid w:val="008F1C86"/>
    <w:rPr>
      <w:rFonts w:cs="OpenSymbol"/>
    </w:rPr>
  </w:style>
  <w:style w:type="character" w:customStyle="1" w:styleId="ListLabel112">
    <w:name w:val="ListLabel 112"/>
    <w:qFormat/>
    <w:rsid w:val="008F1C86"/>
    <w:rPr>
      <w:rFonts w:cs="OpenSymbol"/>
    </w:rPr>
  </w:style>
  <w:style w:type="character" w:customStyle="1" w:styleId="ListLabel113">
    <w:name w:val="ListLabel 113"/>
    <w:qFormat/>
    <w:rsid w:val="008F1C86"/>
    <w:rPr>
      <w:rFonts w:cs="OpenSymbol"/>
    </w:rPr>
  </w:style>
  <w:style w:type="paragraph" w:customStyle="1" w:styleId="Heading">
    <w:name w:val="Heading"/>
    <w:basedOn w:val="Normal"/>
    <w:next w:val="BodyText"/>
    <w:qFormat/>
    <w:rsid w:val="007977D4"/>
    <w:pPr>
      <w:keepNext/>
      <w:spacing w:before="240" w:after="120"/>
    </w:pPr>
    <w:rPr>
      <w:rFonts w:ascii="Liberation Sans" w:hAnsi="Liberation Sans"/>
      <w:sz w:val="28"/>
      <w:szCs w:val="28"/>
    </w:rPr>
  </w:style>
  <w:style w:type="paragraph" w:styleId="BodyText">
    <w:name w:val="Body Text"/>
    <w:basedOn w:val="Normal"/>
    <w:rsid w:val="007977D4"/>
    <w:pPr>
      <w:spacing w:after="140" w:line="288" w:lineRule="auto"/>
    </w:pPr>
  </w:style>
  <w:style w:type="paragraph" w:styleId="List">
    <w:name w:val="List"/>
    <w:basedOn w:val="BodyText"/>
    <w:rsid w:val="007977D4"/>
  </w:style>
  <w:style w:type="paragraph" w:styleId="Caption">
    <w:name w:val="caption"/>
    <w:basedOn w:val="Normal"/>
    <w:qFormat/>
    <w:rsid w:val="007977D4"/>
    <w:pPr>
      <w:suppressLineNumbers/>
      <w:spacing w:before="120" w:after="120"/>
    </w:pPr>
    <w:rPr>
      <w:i/>
      <w:iCs/>
    </w:rPr>
  </w:style>
  <w:style w:type="paragraph" w:customStyle="1" w:styleId="Index">
    <w:name w:val="Index"/>
    <w:basedOn w:val="Normal"/>
    <w:qFormat/>
    <w:rsid w:val="007977D4"/>
    <w:pPr>
      <w:suppressLineNumbers/>
    </w:pPr>
  </w:style>
  <w:style w:type="paragraph" w:styleId="FootnoteText">
    <w:name w:val="footnote text"/>
    <w:basedOn w:val="Normal"/>
    <w:rsid w:val="008F1C86"/>
  </w:style>
  <w:style w:type="numbering" w:customStyle="1" w:styleId="WW8Num2">
    <w:name w:val="WW8Num2"/>
    <w:qFormat/>
    <w:rsid w:val="007977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nsult.environment-agency.gov.uk/psc/rg7-4pr-awe-pl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clear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1490</Words>
  <Characters>8494</Characters>
  <Application>Microsoft Office Word</Application>
  <DocSecurity>0</DocSecurity>
  <Lines>70</Lines>
  <Paragraphs>19</Paragraphs>
  <ScaleCrop>false</ScaleCrop>
  <Company>University of Manchester [work-at-home copy]</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10</cp:revision>
  <cp:lastPrinted>2018-02-19T11:03:00Z</cp:lastPrinted>
  <dcterms:created xsi:type="dcterms:W3CDTF">2018-02-18T15:31:00Z</dcterms:created>
  <dcterms:modified xsi:type="dcterms:W3CDTF">2018-02-19T16:35:00Z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Manchester [work-at-home copy]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